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6" w:rsidRPr="001E7DB6" w:rsidRDefault="001E7DB6" w:rsidP="001E7DB6">
      <w:pPr>
        <w:spacing w:line="240" w:lineRule="auto"/>
        <w:jc w:val="center"/>
        <w:rPr>
          <w:rFonts w:ascii="Times New Roman" w:eastAsia="Times New Roman" w:hAnsi="Times New Roman" w:cs="Times New Roman"/>
          <w:sz w:val="36"/>
          <w:szCs w:val="24"/>
        </w:rPr>
      </w:pPr>
      <w:r w:rsidRPr="001E7DB6">
        <w:rPr>
          <w:rFonts w:ascii="Calibri" w:eastAsia="Times New Roman" w:hAnsi="Calibri" w:cs="Times New Roman"/>
          <w:sz w:val="36"/>
          <w:szCs w:val="24"/>
        </w:rPr>
        <w:t>2013 Through April 2020</w:t>
      </w:r>
    </w:p>
    <w:p w:rsidR="001E7DB6" w:rsidRDefault="001E7DB6" w:rsidP="001E7DB6">
      <w:pPr>
        <w:spacing w:line="240" w:lineRule="auto"/>
        <w:jc w:val="center"/>
        <w:rPr>
          <w:rFonts w:ascii="Calibri" w:eastAsia="Times New Roman" w:hAnsi="Calibri" w:cs="Times New Roman"/>
          <w:b/>
          <w:bCs/>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t>2013</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130%</w:t>
      </w:r>
    </w:p>
    <w:p w:rsidR="001E7DB6" w:rsidRPr="00AA7032" w:rsidRDefault="001E7DB6" w:rsidP="001E7DB6">
      <w:pPr>
        <w:spacing w:line="240" w:lineRule="auto"/>
        <w:jc w:val="center"/>
        <w:rPr>
          <w:rFonts w:ascii="Times New Roman" w:eastAsia="Times New Roman" w:hAnsi="Times New Roman" w:cs="Times New Roman"/>
          <w:sz w:val="24"/>
          <w:szCs w:val="24"/>
        </w:rPr>
      </w:pPr>
      <w:r>
        <w:rPr>
          <w:rFonts w:ascii="Calibri" w:eastAsia="Times New Roman" w:hAnsi="Calibri" w:cs="Times New Roman"/>
          <w:sz w:val="24"/>
          <w:szCs w:val="24"/>
        </w:rPr>
        <w:t xml:space="preserve">Draw down </w:t>
      </w:r>
      <w:r w:rsidRPr="00AA7032">
        <w:rPr>
          <w:rFonts w:ascii="Calibri" w:eastAsia="Times New Roman" w:hAnsi="Calibri" w:cs="Times New Roman"/>
          <w:sz w:val="24"/>
          <w:szCs w:val="24"/>
        </w:rPr>
        <w:t xml:space="preserve">January from </w:t>
      </w:r>
      <w:r>
        <w:rPr>
          <w:rFonts w:ascii="Calibri" w:eastAsia="Times New Roman" w:hAnsi="Calibri" w:cs="Times New Roman"/>
          <w:sz w:val="24"/>
          <w:szCs w:val="24"/>
        </w:rPr>
        <w:t>$</w:t>
      </w:r>
      <w:r w:rsidRPr="00AA7032">
        <w:rPr>
          <w:rFonts w:ascii="Calibri" w:eastAsia="Times New Roman" w:hAnsi="Calibri" w:cs="Times New Roman"/>
          <w:sz w:val="24"/>
          <w:szCs w:val="24"/>
        </w:rPr>
        <w:t>103</w:t>
      </w:r>
      <w:r>
        <w:rPr>
          <w:rFonts w:ascii="Calibri" w:eastAsia="Times New Roman" w:hAnsi="Calibri" w:cs="Times New Roman"/>
          <w:sz w:val="24"/>
          <w:szCs w:val="24"/>
        </w:rPr>
        <w:t>,</w:t>
      </w:r>
      <w:r w:rsidRPr="00AA7032">
        <w:rPr>
          <w:rFonts w:ascii="Calibri" w:eastAsia="Times New Roman" w:hAnsi="Calibri" w:cs="Times New Roman"/>
          <w:sz w:val="24"/>
          <w:szCs w:val="24"/>
        </w:rPr>
        <w:t xml:space="preserve">160 to </w:t>
      </w:r>
      <w:r>
        <w:rPr>
          <w:rFonts w:ascii="Calibri" w:eastAsia="Times New Roman" w:hAnsi="Calibri" w:cs="Times New Roman"/>
          <w:sz w:val="24"/>
          <w:szCs w:val="24"/>
        </w:rPr>
        <w:t>$</w:t>
      </w:r>
      <w:r w:rsidRPr="00AA7032">
        <w:rPr>
          <w:rFonts w:ascii="Calibri" w:eastAsia="Times New Roman" w:hAnsi="Calibri" w:cs="Times New Roman"/>
          <w:sz w:val="24"/>
          <w:szCs w:val="24"/>
        </w:rPr>
        <w:t>87</w:t>
      </w:r>
      <w:r>
        <w:rPr>
          <w:rFonts w:ascii="Calibri" w:eastAsia="Times New Roman" w:hAnsi="Calibri" w:cs="Times New Roman"/>
          <w:sz w:val="24"/>
          <w:szCs w:val="24"/>
        </w:rPr>
        <w:t>,</w:t>
      </w:r>
      <w:r w:rsidRPr="00AA7032">
        <w:rPr>
          <w:rFonts w:ascii="Calibri" w:eastAsia="Times New Roman" w:hAnsi="Calibri" w:cs="Times New Roman"/>
          <w:sz w:val="24"/>
          <w:szCs w:val="24"/>
        </w:rPr>
        <w:t xml:space="preserve">491 in February or  </w:t>
      </w:r>
      <w:r>
        <w:rPr>
          <w:rFonts w:ascii="Calibri" w:eastAsia="Times New Roman" w:hAnsi="Calibri" w:cs="Times New Roman"/>
          <w:sz w:val="24"/>
          <w:szCs w:val="24"/>
        </w:rPr>
        <w:t xml:space="preserve">a </w:t>
      </w:r>
      <w:r w:rsidRPr="00AA7032">
        <w:rPr>
          <w:rFonts w:ascii="Calibri" w:eastAsia="Times New Roman" w:hAnsi="Calibri" w:cs="Times New Roman"/>
          <w:sz w:val="24"/>
          <w:szCs w:val="24"/>
        </w:rPr>
        <w:t>3% drop</w:t>
      </w:r>
    </w:p>
    <w:p w:rsidR="001E7DB6" w:rsidRPr="00AA7032" w:rsidRDefault="001E7DB6" w:rsidP="001E7DB6">
      <w:pPr>
        <w:spacing w:line="240" w:lineRule="auto"/>
        <w:jc w:val="center"/>
        <w:rPr>
          <w:rFonts w:ascii="Times New Roman" w:eastAsia="Times New Roman" w:hAnsi="Times New Roman" w:cs="Times New Roman"/>
          <w:sz w:val="24"/>
          <w:szCs w:val="24"/>
        </w:rPr>
      </w:pPr>
    </w:p>
    <w:tbl>
      <w:tblPr>
        <w:tblW w:w="8506" w:type="dxa"/>
        <w:jc w:val="center"/>
        <w:tblInd w:w="96" w:type="dxa"/>
        <w:tblLook w:val="04A0"/>
      </w:tblPr>
      <w:tblGrid>
        <w:gridCol w:w="1310"/>
        <w:gridCol w:w="1799"/>
        <w:gridCol w:w="1799"/>
        <w:gridCol w:w="1799"/>
        <w:gridCol w:w="1799"/>
      </w:tblGrid>
      <w:tr w:rsidR="001E7DB6" w:rsidRPr="00AA7032" w:rsidTr="00325A1C">
        <w:trPr>
          <w:trHeight w:val="237"/>
          <w:jc w:val="center"/>
        </w:trPr>
        <w:tc>
          <w:tcPr>
            <w:tcW w:w="1310" w:type="dxa"/>
            <w:tcBorders>
              <w:top w:val="nil"/>
              <w:left w:val="nil"/>
              <w:bottom w:val="nil"/>
              <w:right w:val="nil"/>
            </w:tcBorders>
            <w:shd w:val="clear" w:color="auto" w:fill="auto"/>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Real Time</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Capital Balance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$ 481,467.63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103,160</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$103,160.00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-15,669</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$87,491.00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33,016</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$120,507.00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92,449</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$212,956.00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May</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89,960</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$302,916.00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40,945</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$343,861.00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23,983</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$367,844.00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12,913</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$380,757.00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101,352</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$482,109.00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48,537</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$530,646.00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33,509</w:t>
            </w:r>
          </w:p>
        </w:tc>
        <w:tc>
          <w:tcPr>
            <w:tcW w:w="1799"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$564,155.00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60,646</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$624,801.00</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799"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2013</w:t>
            </w:r>
          </w:p>
        </w:tc>
        <w:tc>
          <w:tcPr>
            <w:tcW w:w="1799"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624,801</w:t>
            </w:r>
          </w:p>
        </w:tc>
        <w:tc>
          <w:tcPr>
            <w:tcW w:w="1799"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r w:rsidR="001E7DB6" w:rsidRPr="00AA7032" w:rsidTr="00325A1C">
        <w:trPr>
          <w:trHeight w:val="237"/>
          <w:jc w:val="center"/>
        </w:trPr>
        <w:tc>
          <w:tcPr>
            <w:tcW w:w="1310" w:type="dxa"/>
            <w:tcBorders>
              <w:top w:val="nil"/>
              <w:left w:val="nil"/>
              <w:bottom w:val="nil"/>
              <w:right w:val="nil"/>
            </w:tcBorders>
            <w:shd w:val="clear" w:color="auto" w:fill="FFFFFF"/>
            <w:vAlign w:val="bottom"/>
          </w:tcPr>
          <w:p w:rsidR="001E7DB6" w:rsidRPr="00AA7032" w:rsidRDefault="001E7DB6" w:rsidP="00325A1C">
            <w:pPr>
              <w:spacing w:after="0" w:line="240" w:lineRule="auto"/>
              <w:jc w:val="right"/>
              <w:rPr>
                <w:rFonts w:ascii="Arial" w:eastAsia="Times New Roman" w:hAnsi="Arial" w:cs="Arial"/>
                <w:color w:val="000000"/>
                <w:sz w:val="20"/>
                <w:szCs w:val="20"/>
              </w:rPr>
            </w:pPr>
          </w:p>
          <w:p w:rsidR="001E7DB6" w:rsidRPr="00AA7032" w:rsidRDefault="001E7DB6" w:rsidP="00325A1C">
            <w:pPr>
              <w:spacing w:after="0" w:line="240" w:lineRule="auto"/>
              <w:jc w:val="right"/>
              <w:rPr>
                <w:rFonts w:ascii="Arial" w:eastAsia="Times New Roman" w:hAnsi="Arial" w:cs="Arial"/>
                <w:color w:val="000000"/>
                <w:sz w:val="20"/>
                <w:szCs w:val="20"/>
              </w:rPr>
            </w:pPr>
          </w:p>
        </w:tc>
        <w:tc>
          <w:tcPr>
            <w:tcW w:w="1799" w:type="dxa"/>
            <w:tcBorders>
              <w:top w:val="nil"/>
              <w:left w:val="nil"/>
              <w:bottom w:val="nil"/>
              <w:right w:val="nil"/>
            </w:tcBorders>
            <w:shd w:val="clear" w:color="auto" w:fill="FFFFFF"/>
            <w:vAlign w:val="bottom"/>
            <w:hideMark/>
          </w:tcPr>
          <w:p w:rsidR="001E7DB6" w:rsidRPr="00AA7032" w:rsidRDefault="001E7DB6" w:rsidP="00325A1C">
            <w:pPr>
              <w:spacing w:beforeAutospacing="1" w:after="0" w:afterAutospacing="1" w:line="240" w:lineRule="auto"/>
              <w:rPr>
                <w:rFonts w:ascii="Times New Roman" w:eastAsia="Times New Roman" w:hAnsi="Times New Roman" w:cs="Times New Roman"/>
                <w:sz w:val="24"/>
                <w:szCs w:val="24"/>
              </w:rPr>
            </w:pPr>
          </w:p>
        </w:tc>
        <w:tc>
          <w:tcPr>
            <w:tcW w:w="1799" w:type="dxa"/>
            <w:tcBorders>
              <w:top w:val="nil"/>
              <w:left w:val="nil"/>
              <w:bottom w:val="nil"/>
              <w:right w:val="nil"/>
            </w:tcBorders>
            <w:shd w:val="clear" w:color="auto" w:fill="339966"/>
            <w:vAlign w:val="bottom"/>
            <w:hideMark/>
          </w:tcPr>
          <w:p w:rsidR="001E7DB6" w:rsidRPr="00AA7032" w:rsidRDefault="001E7DB6" w:rsidP="00325A1C">
            <w:pPr>
              <w:spacing w:beforeAutospacing="1" w:after="0" w:afterAutospacing="1" w:line="240" w:lineRule="auto"/>
              <w:rPr>
                <w:rFonts w:ascii="Times New Roman" w:eastAsia="Times New Roman" w:hAnsi="Times New Roman" w:cs="Times New Roman"/>
                <w:sz w:val="24"/>
                <w:szCs w:val="24"/>
              </w:rPr>
            </w:pPr>
          </w:p>
        </w:tc>
        <w:tc>
          <w:tcPr>
            <w:tcW w:w="1799" w:type="dxa"/>
            <w:tcBorders>
              <w:top w:val="nil"/>
              <w:left w:val="nil"/>
              <w:bottom w:val="nil"/>
              <w:right w:val="nil"/>
            </w:tcBorders>
            <w:shd w:val="clear" w:color="auto" w:fill="CCFFCC"/>
            <w:vAlign w:val="bottom"/>
            <w:hideMark/>
          </w:tcPr>
          <w:p w:rsidR="001E7DB6" w:rsidRPr="00AA7032" w:rsidRDefault="001E7DB6" w:rsidP="00325A1C">
            <w:pPr>
              <w:spacing w:beforeAutospacing="1" w:after="0" w:afterAutospacing="1" w:line="240" w:lineRule="auto"/>
              <w:rPr>
                <w:rFonts w:ascii="Times New Roman" w:eastAsia="Times New Roman" w:hAnsi="Times New Roman" w:cs="Times New Roman"/>
                <w:sz w:val="24"/>
                <w:szCs w:val="24"/>
              </w:rPr>
            </w:pPr>
          </w:p>
        </w:tc>
        <w:tc>
          <w:tcPr>
            <w:tcW w:w="1799" w:type="dxa"/>
            <w:tcBorders>
              <w:top w:val="nil"/>
              <w:left w:val="nil"/>
              <w:bottom w:val="nil"/>
              <w:right w:val="nil"/>
            </w:tcBorders>
            <w:shd w:val="clear" w:color="auto" w:fill="339966"/>
            <w:vAlign w:val="bottom"/>
            <w:hideMark/>
          </w:tcPr>
          <w:p w:rsidR="001E7DB6" w:rsidRPr="00AA7032" w:rsidRDefault="001E7DB6" w:rsidP="00325A1C">
            <w:pPr>
              <w:spacing w:beforeAutospacing="1" w:after="0" w:afterAutospacing="1" w:line="240" w:lineRule="auto"/>
              <w:rPr>
                <w:rFonts w:ascii="Times New Roman" w:eastAsia="Times New Roman" w:hAnsi="Times New Roman" w:cs="Times New Roman"/>
                <w:sz w:val="24"/>
                <w:szCs w:val="24"/>
              </w:rPr>
            </w:pPr>
          </w:p>
        </w:tc>
      </w:tr>
    </w:tbl>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t>2014</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40%</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February from 638034 to 469695 in April  or a 168339 drop or 26% drawdown</w:t>
      </w:r>
    </w:p>
    <w:p w:rsidR="001E7DB6" w:rsidRPr="00AA7032" w:rsidRDefault="001E7DB6" w:rsidP="001E7DB6">
      <w:pPr>
        <w:spacing w:line="240" w:lineRule="auto"/>
        <w:jc w:val="center"/>
        <w:rPr>
          <w:rFonts w:ascii="Times New Roman" w:eastAsia="Times New Roman" w:hAnsi="Times New Roman" w:cs="Times New Roman"/>
          <w:sz w:val="24"/>
          <w:szCs w:val="24"/>
        </w:rPr>
      </w:pPr>
    </w:p>
    <w:tbl>
      <w:tblPr>
        <w:tblW w:w="8200" w:type="dxa"/>
        <w:jc w:val="center"/>
        <w:tblInd w:w="96" w:type="dxa"/>
        <w:tblLook w:val="04A0"/>
      </w:tblPr>
      <w:tblGrid>
        <w:gridCol w:w="1340"/>
        <w:gridCol w:w="1840"/>
        <w:gridCol w:w="1340"/>
        <w:gridCol w:w="1840"/>
        <w:gridCol w:w="1840"/>
      </w:tblGrid>
      <w:tr w:rsidR="001E7DB6" w:rsidRPr="00AA7032" w:rsidTr="00325A1C">
        <w:trPr>
          <w:trHeight w:val="255"/>
          <w:jc w:val="center"/>
        </w:trPr>
        <w:tc>
          <w:tcPr>
            <w:tcW w:w="1340" w:type="dxa"/>
            <w:tcBorders>
              <w:top w:val="nil"/>
              <w:left w:val="nil"/>
              <w:bottom w:val="nil"/>
              <w:right w:val="nil"/>
            </w:tcBorders>
            <w:shd w:val="clear" w:color="auto" w:fill="auto"/>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Real Time</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Capital Balance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$ 423,084.36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54,793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$54,793.00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160,157</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$214,950.00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-134,195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$80,755.00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-34,144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$46,611.00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xml:space="preserve">May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27,563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$74,174.00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91,854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$166,028.00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-35,766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$130,262.00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66,915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$197,177.00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-32,643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$164,534.00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15,707</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$180,241.00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-12,755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$167,486.00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lastRenderedPageBreak/>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1,256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$168,742.00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2014</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168,742</w:t>
            </w:r>
          </w:p>
        </w:tc>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bl>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t>2015</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44%</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April from 569263 to 469695 in  September or a 99568 drop or 18% drawdown</w:t>
      </w:r>
    </w:p>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p>
    <w:tbl>
      <w:tblPr>
        <w:tblW w:w="8200" w:type="dxa"/>
        <w:jc w:val="center"/>
        <w:tblInd w:w="96" w:type="dxa"/>
        <w:tblLook w:val="04A0"/>
      </w:tblPr>
      <w:tblGrid>
        <w:gridCol w:w="1340"/>
        <w:gridCol w:w="1840"/>
        <w:gridCol w:w="1340"/>
        <w:gridCol w:w="1840"/>
        <w:gridCol w:w="1840"/>
      </w:tblGrid>
      <w:tr w:rsidR="001E7DB6" w:rsidRPr="00AA7032" w:rsidTr="00325A1C">
        <w:trPr>
          <w:trHeight w:val="255"/>
          <w:jc w:val="center"/>
        </w:trPr>
        <w:tc>
          <w:tcPr>
            <w:tcW w:w="1340" w:type="dxa"/>
            <w:tcBorders>
              <w:top w:val="nil"/>
              <w:left w:val="nil"/>
              <w:bottom w:val="nil"/>
              <w:right w:val="nil"/>
            </w:tcBorders>
            <w:shd w:val="clear" w:color="auto" w:fill="auto"/>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Real Time</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Capital Balance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$ 450,004.91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28,712</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$28,712.00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840" w:type="dxa"/>
            <w:tcBorders>
              <w:top w:val="nil"/>
              <w:left w:val="nil"/>
              <w:bottom w:val="nil"/>
              <w:right w:val="nil"/>
            </w:tcBorders>
            <w:shd w:val="clear" w:color="auto" w:fill="C0C0C0"/>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$54,888</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$83,600.00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31,888</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$115,488.00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3,771</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$119,259.00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xml:space="preserve">May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-33,795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$85,464.00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-6,290</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$79,174.00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-18,229</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$60,945.00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-62,124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FF0000"/>
                <w:sz w:val="20"/>
                <w:szCs w:val="20"/>
              </w:rPr>
            </w:pPr>
            <w:r w:rsidRPr="00AA7032">
              <w:rPr>
                <w:rFonts w:ascii="Arial" w:eastAsia="Times New Roman" w:hAnsi="Arial" w:cs="Arial"/>
                <w:color w:val="FF0000"/>
                <w:sz w:val="20"/>
                <w:szCs w:val="20"/>
              </w:rPr>
              <w:t>-$1,179.00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-13,036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FF0000"/>
                <w:sz w:val="20"/>
                <w:szCs w:val="20"/>
              </w:rPr>
            </w:pPr>
            <w:r w:rsidRPr="00AA7032">
              <w:rPr>
                <w:rFonts w:ascii="Arial" w:eastAsia="Times New Roman" w:hAnsi="Arial" w:cs="Arial"/>
                <w:color w:val="FF0000"/>
                <w:sz w:val="20"/>
                <w:szCs w:val="20"/>
              </w:rPr>
              <w:t>-$14,215.00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115,442</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$101,227.00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44,653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$145,880.00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54,264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$200,144.00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2015</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200,144</w:t>
            </w:r>
          </w:p>
        </w:tc>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bl>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t>2016</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51%</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April from 715220 to 469695 in June or a 181643 drop or 25% drawdown</w:t>
      </w:r>
    </w:p>
    <w:tbl>
      <w:tblPr>
        <w:tblW w:w="8200" w:type="dxa"/>
        <w:jc w:val="center"/>
        <w:tblInd w:w="96" w:type="dxa"/>
        <w:tblLook w:val="04A0"/>
      </w:tblPr>
      <w:tblGrid>
        <w:gridCol w:w="1340"/>
        <w:gridCol w:w="1840"/>
        <w:gridCol w:w="1340"/>
        <w:gridCol w:w="1840"/>
        <w:gridCol w:w="1840"/>
      </w:tblGrid>
      <w:tr w:rsidR="001E7DB6" w:rsidRPr="00AA7032" w:rsidTr="00325A1C">
        <w:trPr>
          <w:trHeight w:val="255"/>
          <w:jc w:val="center"/>
        </w:trPr>
        <w:tc>
          <w:tcPr>
            <w:tcW w:w="1340" w:type="dxa"/>
            <w:tcBorders>
              <w:top w:val="nil"/>
              <w:left w:val="nil"/>
              <w:bottom w:val="nil"/>
              <w:right w:val="nil"/>
            </w:tcBorders>
            <w:shd w:val="clear" w:color="auto" w:fill="auto"/>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Real Time</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Capital Balance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$ 516,004.32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-40,333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FF0000"/>
                <w:sz w:val="20"/>
                <w:szCs w:val="20"/>
              </w:rPr>
            </w:pPr>
            <w:r w:rsidRPr="00AA7032">
              <w:rPr>
                <w:rFonts w:ascii="Arial" w:eastAsia="Times New Roman" w:hAnsi="Arial" w:cs="Arial"/>
                <w:color w:val="FF0000"/>
                <w:sz w:val="20"/>
                <w:szCs w:val="20"/>
              </w:rPr>
              <w:t>-$40,333.00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840" w:type="dxa"/>
            <w:tcBorders>
              <w:top w:val="nil"/>
              <w:left w:val="nil"/>
              <w:bottom w:val="nil"/>
              <w:right w:val="nil"/>
            </w:tcBorders>
            <w:shd w:val="clear" w:color="auto" w:fill="C0C0C0"/>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$38,521</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FF0000"/>
                <w:sz w:val="20"/>
                <w:szCs w:val="20"/>
              </w:rPr>
            </w:pPr>
            <w:r w:rsidRPr="00AA7032">
              <w:rPr>
                <w:rFonts w:ascii="Arial" w:eastAsia="Times New Roman" w:hAnsi="Arial" w:cs="Arial"/>
                <w:color w:val="FF0000"/>
                <w:sz w:val="20"/>
                <w:szCs w:val="20"/>
              </w:rPr>
              <w:t>-$1,812.00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179,166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$177,354.00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21,862</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$199,216.00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xml:space="preserve">May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-69,520</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$129,696.00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-112,123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$17,573.00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108,444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$126,017.00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50,035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$176,052.00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95,955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$272,007.00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-33,063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$238,944.00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-11,614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$227,330.00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36,507</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$263,837.00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3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2016</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263,837</w:t>
            </w:r>
          </w:p>
        </w:tc>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bl>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t>2017</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+56%</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Feb from 587643 to 548688 in July  or a 38955 drop or 7% drawdown</w:t>
      </w:r>
    </w:p>
    <w:p w:rsidR="001E7DB6" w:rsidRPr="00AA7032" w:rsidRDefault="001E7DB6" w:rsidP="001E7DB6">
      <w:pPr>
        <w:spacing w:line="240" w:lineRule="auto"/>
        <w:jc w:val="center"/>
        <w:rPr>
          <w:rFonts w:ascii="Times New Roman" w:eastAsia="Times New Roman" w:hAnsi="Times New Roman" w:cs="Times New Roman"/>
          <w:sz w:val="24"/>
          <w:szCs w:val="24"/>
        </w:rPr>
      </w:pPr>
    </w:p>
    <w:tbl>
      <w:tblPr>
        <w:tblW w:w="8460" w:type="dxa"/>
        <w:jc w:val="center"/>
        <w:tblInd w:w="96" w:type="dxa"/>
        <w:tblLook w:val="04A0"/>
      </w:tblPr>
      <w:tblGrid>
        <w:gridCol w:w="1340"/>
        <w:gridCol w:w="1840"/>
        <w:gridCol w:w="1600"/>
        <w:gridCol w:w="1840"/>
        <w:gridCol w:w="1840"/>
      </w:tblGrid>
      <w:tr w:rsidR="001E7DB6" w:rsidRPr="00AA7032" w:rsidTr="00325A1C">
        <w:trPr>
          <w:trHeight w:val="255"/>
          <w:jc w:val="center"/>
        </w:trPr>
        <w:tc>
          <w:tcPr>
            <w:tcW w:w="1340" w:type="dxa"/>
            <w:tcBorders>
              <w:top w:val="nil"/>
              <w:left w:val="nil"/>
              <w:bottom w:val="nil"/>
              <w:right w:val="nil"/>
            </w:tcBorders>
            <w:shd w:val="clear" w:color="auto" w:fill="auto"/>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Real Time</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Capital Balance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$ 532,734.00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54,909</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$54,909.00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840" w:type="dxa"/>
            <w:tcBorders>
              <w:top w:val="nil"/>
              <w:left w:val="nil"/>
              <w:bottom w:val="nil"/>
              <w:right w:val="nil"/>
            </w:tcBorders>
            <w:shd w:val="clear" w:color="auto" w:fill="C0C0C0"/>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-$6,555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$48,354.00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-12,979</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$35,375.00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-442</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$34,933.00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xml:space="preserve">May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-13,818</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$21,115.00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74,683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$95,798.00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-79,844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$15,954.00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56,734</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$72,668.00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27,276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$99,944.00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29,301</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$129,245.00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43,430</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$172,675.00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127,685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$300,360.00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2017</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300,360</w:t>
            </w:r>
          </w:p>
        </w:tc>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bl>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t>2018</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 xml:space="preserve">-9%   </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June from 715067 to 524810 in Dec  or a 190257 drop or 33% drawdown</w:t>
      </w:r>
    </w:p>
    <w:p w:rsidR="001E7DB6" w:rsidRPr="00AA7032" w:rsidRDefault="001E7DB6" w:rsidP="001E7DB6">
      <w:pPr>
        <w:spacing w:line="240" w:lineRule="auto"/>
        <w:jc w:val="center"/>
        <w:rPr>
          <w:rFonts w:ascii="Times New Roman" w:eastAsia="Times New Roman" w:hAnsi="Times New Roman" w:cs="Times New Roman"/>
          <w:sz w:val="24"/>
          <w:szCs w:val="24"/>
        </w:rPr>
      </w:pPr>
    </w:p>
    <w:tbl>
      <w:tblPr>
        <w:tblW w:w="8460" w:type="dxa"/>
        <w:jc w:val="center"/>
        <w:tblInd w:w="96" w:type="dxa"/>
        <w:tblLook w:val="04A0"/>
      </w:tblPr>
      <w:tblGrid>
        <w:gridCol w:w="1340"/>
        <w:gridCol w:w="1840"/>
        <w:gridCol w:w="1600"/>
        <w:gridCol w:w="1840"/>
        <w:gridCol w:w="1840"/>
      </w:tblGrid>
      <w:tr w:rsidR="001E7DB6" w:rsidRPr="00AA7032" w:rsidTr="00325A1C">
        <w:trPr>
          <w:trHeight w:val="255"/>
          <w:jc w:val="center"/>
        </w:trPr>
        <w:tc>
          <w:tcPr>
            <w:tcW w:w="1340" w:type="dxa"/>
            <w:tcBorders>
              <w:top w:val="nil"/>
              <w:left w:val="nil"/>
              <w:bottom w:val="nil"/>
              <w:right w:val="nil"/>
            </w:tcBorders>
            <w:shd w:val="clear" w:color="auto" w:fill="auto"/>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Real Time</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Capital Balance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$ 574,327.00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80,115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$80,115.00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sz w:val="20"/>
                <w:szCs w:val="20"/>
              </w:rPr>
            </w:pPr>
            <w:r w:rsidRPr="00AA7032">
              <w:rPr>
                <w:rFonts w:ascii="Arial" w:eastAsia="Times New Roman" w:hAnsi="Arial" w:cs="Arial"/>
                <w:sz w:val="20"/>
                <w:szCs w:val="20"/>
              </w:rPr>
              <w:t>$5,728</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$85,843.00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-38,341</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$47,502.00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22,707</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$70,209.00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xml:space="preserve">May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53,765</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$123,974.00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16,766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$140,740.00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-17,383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$123,357.00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5,939</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$129,296.00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-15,508</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$113,788.00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-56,136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$57,652.00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12,023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$69,675.00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-119,192</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FF0000"/>
                <w:sz w:val="20"/>
                <w:szCs w:val="20"/>
              </w:rPr>
            </w:pPr>
            <w:r w:rsidRPr="00AA7032">
              <w:rPr>
                <w:rFonts w:ascii="Arial" w:eastAsia="Times New Roman" w:hAnsi="Arial" w:cs="Arial"/>
                <w:color w:val="FF0000"/>
                <w:sz w:val="20"/>
                <w:szCs w:val="20"/>
              </w:rPr>
              <w:t>-$49,517.00</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r w:rsidR="001E7DB6" w:rsidRPr="00AA7032" w:rsidTr="00325A1C">
        <w:trPr>
          <w:trHeight w:val="255"/>
          <w:jc w:val="center"/>
        </w:trPr>
        <w:tc>
          <w:tcPr>
            <w:tcW w:w="13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60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2018</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FF0000"/>
                <w:sz w:val="20"/>
                <w:szCs w:val="20"/>
              </w:rPr>
            </w:pPr>
            <w:r w:rsidRPr="00AA7032">
              <w:rPr>
                <w:rFonts w:ascii="Arial" w:eastAsia="Times New Roman" w:hAnsi="Arial" w:cs="Arial"/>
                <w:b/>
                <w:bCs/>
                <w:color w:val="FF0000"/>
                <w:sz w:val="20"/>
                <w:szCs w:val="20"/>
              </w:rPr>
              <w:t>-49,517</w:t>
            </w:r>
          </w:p>
        </w:tc>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bl>
    <w:p w:rsidR="001E7DB6" w:rsidRPr="00AA7032" w:rsidRDefault="001E7DB6" w:rsidP="001E7DB6">
      <w:pPr>
        <w:spacing w:line="240" w:lineRule="auto"/>
        <w:jc w:val="center"/>
        <w:rPr>
          <w:rFonts w:ascii="Times New Roman" w:eastAsia="Times New Roman" w:hAnsi="Times New Roman" w:cs="Times New Roman"/>
          <w:sz w:val="24"/>
          <w:szCs w:val="24"/>
        </w:rPr>
      </w:pP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b/>
          <w:bCs/>
          <w:sz w:val="24"/>
          <w:szCs w:val="24"/>
        </w:rPr>
        <w:lastRenderedPageBreak/>
        <w:t>2019</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 xml:space="preserve">57 %   </w:t>
      </w:r>
    </w:p>
    <w:p w:rsidR="001E7DB6" w:rsidRPr="00AA7032" w:rsidRDefault="001E7DB6" w:rsidP="001E7DB6">
      <w:pPr>
        <w:spacing w:line="240" w:lineRule="auto"/>
        <w:jc w:val="center"/>
        <w:rPr>
          <w:rFonts w:ascii="Times New Roman" w:eastAsia="Times New Roman" w:hAnsi="Times New Roman" w:cs="Times New Roman"/>
          <w:sz w:val="24"/>
          <w:szCs w:val="24"/>
        </w:rPr>
      </w:pPr>
      <w:r w:rsidRPr="00AA7032">
        <w:rPr>
          <w:rFonts w:ascii="Calibri" w:eastAsia="Times New Roman" w:hAnsi="Calibri" w:cs="Times New Roman"/>
          <w:sz w:val="24"/>
          <w:szCs w:val="24"/>
        </w:rPr>
        <w:t>April from 773856 to 674286 in May  or a 99570 drop or 13% drawdown</w:t>
      </w:r>
    </w:p>
    <w:tbl>
      <w:tblPr>
        <w:tblW w:w="5520" w:type="dxa"/>
        <w:jc w:val="center"/>
        <w:tblInd w:w="108" w:type="dxa"/>
        <w:tblLook w:val="04A0"/>
      </w:tblPr>
      <w:tblGrid>
        <w:gridCol w:w="1840"/>
        <w:gridCol w:w="1840"/>
        <w:gridCol w:w="1840"/>
      </w:tblGrid>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 xml:space="preserve">$ 621,184.21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Monthly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Cumulative</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Jan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75,043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$75,043.00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Feb</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75,521</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$150,564.00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-30,348</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$120,216.00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Apr</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32,456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$152,672.00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May</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-99,570</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$53,102.00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Jun</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27,880</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$80,982.00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Jul</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27,763</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$108,745.00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Aug</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-2,946</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$105,799.00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Sep</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65,629</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$171,428.00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Oct</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FF0000"/>
                <w:sz w:val="20"/>
                <w:szCs w:val="20"/>
              </w:rPr>
            </w:pPr>
            <w:r w:rsidRPr="00AA7032">
              <w:rPr>
                <w:rFonts w:ascii="Arial" w:eastAsia="Times New Roman" w:hAnsi="Arial" w:cs="Arial"/>
                <w:color w:val="FF0000"/>
                <w:sz w:val="20"/>
                <w:szCs w:val="20"/>
              </w:rPr>
              <w:t>-29,122</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$142,306.00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Nov</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106,122</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$248,428.00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Dec</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105,139</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$353,567.00</w:t>
            </w:r>
          </w:p>
        </w:tc>
      </w:tr>
      <w:tr w:rsidR="001E7DB6" w:rsidRPr="00AA7032" w:rsidTr="00325A1C">
        <w:trPr>
          <w:trHeight w:val="255"/>
          <w:jc w:val="center"/>
        </w:trPr>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right"/>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c>
          <w:tcPr>
            <w:tcW w:w="1840" w:type="dxa"/>
            <w:tcBorders>
              <w:top w:val="nil"/>
              <w:left w:val="nil"/>
              <w:bottom w:val="nil"/>
              <w:right w:val="nil"/>
            </w:tcBorders>
            <w:shd w:val="clear" w:color="auto" w:fill="FFFFFF"/>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r w:rsidR="001E7DB6" w:rsidRPr="00AA7032" w:rsidTr="00325A1C">
        <w:trPr>
          <w:trHeight w:val="255"/>
          <w:jc w:val="center"/>
        </w:trPr>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rPr>
                <w:rFonts w:ascii="Arial" w:eastAsia="Times New Roman" w:hAnsi="Arial" w:cs="Arial"/>
                <w:color w:val="000000"/>
                <w:sz w:val="20"/>
                <w:szCs w:val="20"/>
              </w:rPr>
            </w:pPr>
            <w:r w:rsidRPr="00AA7032">
              <w:rPr>
                <w:rFonts w:ascii="Arial" w:eastAsia="Times New Roman" w:hAnsi="Arial" w:cs="Arial"/>
                <w:color w:val="000000"/>
                <w:sz w:val="20"/>
                <w:szCs w:val="20"/>
              </w:rPr>
              <w:t>Total 2019</w:t>
            </w:r>
          </w:p>
        </w:tc>
        <w:tc>
          <w:tcPr>
            <w:tcW w:w="1840" w:type="dxa"/>
            <w:tcBorders>
              <w:top w:val="nil"/>
              <w:left w:val="nil"/>
              <w:bottom w:val="nil"/>
              <w:right w:val="nil"/>
            </w:tcBorders>
            <w:shd w:val="clear" w:color="auto" w:fill="CCFFCC"/>
            <w:vAlign w:val="bottom"/>
            <w:hideMark/>
          </w:tcPr>
          <w:p w:rsidR="001E7DB6" w:rsidRPr="00AA7032" w:rsidRDefault="001E7DB6" w:rsidP="00325A1C">
            <w:pPr>
              <w:spacing w:after="0" w:line="240" w:lineRule="auto"/>
              <w:jc w:val="right"/>
              <w:rPr>
                <w:rFonts w:ascii="Arial" w:eastAsia="Times New Roman" w:hAnsi="Arial" w:cs="Arial"/>
                <w:b/>
                <w:bCs/>
                <w:color w:val="000000"/>
                <w:sz w:val="20"/>
                <w:szCs w:val="20"/>
              </w:rPr>
            </w:pPr>
            <w:r w:rsidRPr="00AA7032">
              <w:rPr>
                <w:rFonts w:ascii="Arial" w:eastAsia="Times New Roman" w:hAnsi="Arial" w:cs="Arial"/>
                <w:b/>
                <w:bCs/>
                <w:color w:val="000000"/>
                <w:sz w:val="20"/>
                <w:szCs w:val="20"/>
              </w:rPr>
              <w:t>353,567</w:t>
            </w:r>
          </w:p>
        </w:tc>
        <w:tc>
          <w:tcPr>
            <w:tcW w:w="1840" w:type="dxa"/>
            <w:tcBorders>
              <w:top w:val="nil"/>
              <w:left w:val="nil"/>
              <w:bottom w:val="nil"/>
              <w:right w:val="nil"/>
            </w:tcBorders>
            <w:shd w:val="clear" w:color="auto" w:fill="339966"/>
            <w:vAlign w:val="bottom"/>
            <w:hideMark/>
          </w:tcPr>
          <w:p w:rsidR="001E7DB6" w:rsidRPr="00AA7032" w:rsidRDefault="001E7DB6" w:rsidP="00325A1C">
            <w:pPr>
              <w:spacing w:after="0" w:line="240" w:lineRule="auto"/>
              <w:jc w:val="center"/>
              <w:rPr>
                <w:rFonts w:ascii="Arial" w:eastAsia="Times New Roman" w:hAnsi="Arial" w:cs="Arial"/>
                <w:color w:val="000000"/>
                <w:sz w:val="20"/>
                <w:szCs w:val="20"/>
              </w:rPr>
            </w:pPr>
            <w:r w:rsidRPr="00AA7032">
              <w:rPr>
                <w:rFonts w:ascii="Arial" w:eastAsia="Times New Roman" w:hAnsi="Arial" w:cs="Arial"/>
                <w:color w:val="000000"/>
                <w:sz w:val="20"/>
                <w:szCs w:val="20"/>
              </w:rPr>
              <w:t> </w:t>
            </w:r>
          </w:p>
        </w:tc>
      </w:tr>
    </w:tbl>
    <w:p w:rsidR="001E7DB6" w:rsidRDefault="001E7DB6" w:rsidP="001E7DB6"/>
    <w:p w:rsidR="001E7DB6" w:rsidRDefault="001E7DB6" w:rsidP="001E7DB6">
      <w:pPr>
        <w:spacing w:line="240" w:lineRule="auto"/>
        <w:jc w:val="center"/>
        <w:rPr>
          <w:rFonts w:ascii="Calibri" w:eastAsia="Times New Roman" w:hAnsi="Calibri" w:cs="Times New Roman"/>
          <w:b/>
          <w:bCs/>
          <w:sz w:val="24"/>
          <w:szCs w:val="24"/>
        </w:rPr>
      </w:pPr>
    </w:p>
    <w:p w:rsidR="001E7DB6" w:rsidRPr="00EB41B1" w:rsidRDefault="001E7DB6" w:rsidP="001E7DB6">
      <w:pPr>
        <w:spacing w:line="240" w:lineRule="auto"/>
        <w:jc w:val="center"/>
        <w:rPr>
          <w:rFonts w:ascii="Calibri" w:eastAsia="Times New Roman" w:hAnsi="Calibri" w:cs="Times New Roman"/>
          <w:sz w:val="36"/>
          <w:szCs w:val="24"/>
        </w:rPr>
      </w:pPr>
      <w:r w:rsidRPr="00EB41B1">
        <w:rPr>
          <w:rFonts w:ascii="Calibri" w:eastAsia="Times New Roman" w:hAnsi="Calibri" w:cs="Times New Roman"/>
          <w:b/>
          <w:bCs/>
          <w:sz w:val="32"/>
          <w:szCs w:val="24"/>
        </w:rPr>
        <w:t>2020</w:t>
      </w:r>
    </w:p>
    <w:p w:rsidR="001E7DB6" w:rsidRDefault="001E7DB6" w:rsidP="001E7DB6">
      <w:pPr>
        <w:spacing w:line="240" w:lineRule="auto"/>
        <w:rPr>
          <w:rFonts w:ascii="Calibri" w:eastAsia="Times New Roman" w:hAnsi="Calibri" w:cs="Times New Roman"/>
          <w:sz w:val="24"/>
          <w:szCs w:val="24"/>
        </w:rPr>
      </w:pPr>
      <w:r>
        <w:rPr>
          <w:rFonts w:ascii="Calibri" w:eastAsia="Times New Roman" w:hAnsi="Calibri" w:cs="Times New Roman"/>
          <w:sz w:val="24"/>
          <w:szCs w:val="24"/>
        </w:rPr>
        <w:t>This is my customer letter for May 2020 and covers my performance for 2020 through APRIL:</w:t>
      </w:r>
    </w:p>
    <w:p w:rsidR="001E7DB6" w:rsidRPr="002550D3" w:rsidRDefault="001E7DB6" w:rsidP="001E7DB6">
      <w:pPr>
        <w:rPr>
          <w:sz w:val="24"/>
        </w:rPr>
      </w:pPr>
      <w:r w:rsidRPr="00C20A77">
        <w:t>T</w:t>
      </w:r>
      <w:r w:rsidRPr="002550D3">
        <w:rPr>
          <w:sz w:val="24"/>
        </w:rPr>
        <w:t xml:space="preserve">o: </w:t>
      </w:r>
      <w:hyperlink r:id="rId4" w:history="1">
        <w:r w:rsidRPr="002550D3">
          <w:rPr>
            <w:rStyle w:val="Hyperlink"/>
            <w:sz w:val="24"/>
          </w:rPr>
          <w:t>UndisclosedRecipients@short-term-stocktrading.com</w:t>
        </w:r>
      </w:hyperlink>
    </w:p>
    <w:p w:rsidR="001E7DB6" w:rsidRPr="002550D3" w:rsidRDefault="001E7DB6" w:rsidP="001E7DB6">
      <w:pPr>
        <w:rPr>
          <w:sz w:val="24"/>
        </w:rPr>
      </w:pPr>
      <w:r w:rsidRPr="002550D3">
        <w:rPr>
          <w:sz w:val="24"/>
        </w:rPr>
        <w:t>Date Thursday, April 30, 2020</w:t>
      </w:r>
    </w:p>
    <w:p w:rsidR="001E7DB6" w:rsidRPr="002550D3" w:rsidRDefault="001E7DB6" w:rsidP="001E7DB6">
      <w:pPr>
        <w:adjustRightInd w:val="0"/>
        <w:rPr>
          <w:b/>
          <w:sz w:val="24"/>
        </w:rPr>
      </w:pPr>
      <w:r w:rsidRPr="002550D3">
        <w:rPr>
          <w:sz w:val="24"/>
        </w:rPr>
        <w:t xml:space="preserve">Subject </w:t>
      </w:r>
      <w:r w:rsidRPr="002550D3">
        <w:rPr>
          <w:b/>
          <w:sz w:val="24"/>
        </w:rPr>
        <w:t>The Stock Market and New Portfolio Changes</w:t>
      </w:r>
    </w:p>
    <w:p w:rsidR="001E7DB6" w:rsidRPr="002550D3" w:rsidRDefault="001E7DB6" w:rsidP="001E7DB6">
      <w:pPr>
        <w:rPr>
          <w:sz w:val="24"/>
        </w:rPr>
      </w:pPr>
      <w:r w:rsidRPr="002550D3">
        <w:rPr>
          <w:sz w:val="24"/>
        </w:rPr>
        <w:t>Dear customers,</w:t>
      </w:r>
    </w:p>
    <w:p w:rsidR="001E7DB6" w:rsidRPr="002550D3" w:rsidRDefault="001E7DB6" w:rsidP="001E7DB6">
      <w:pPr>
        <w:rPr>
          <w:color w:val="101010"/>
          <w:sz w:val="24"/>
          <w:shd w:val="clear" w:color="auto" w:fill="F9FBFE"/>
        </w:rPr>
      </w:pPr>
      <w:r w:rsidRPr="002550D3">
        <w:rPr>
          <w:color w:val="101010"/>
          <w:sz w:val="24"/>
          <w:shd w:val="clear" w:color="auto" w:fill="F9FBFE"/>
        </w:rPr>
        <w:t>We now have a six month red hot trading streak going.  I would like to think that is because my algorithm is extraordinary, but I also think it is because I have fine tuned my techniques for stock selection.  Regardless, the most exciting part of this for me is that we have been able to get fantastic returns in both up and down markets without shorting anything.</w:t>
      </w:r>
    </w:p>
    <w:p w:rsidR="001E7DB6" w:rsidRPr="002550D3" w:rsidRDefault="001E7DB6" w:rsidP="001E7DB6">
      <w:pPr>
        <w:rPr>
          <w:color w:val="101010"/>
          <w:sz w:val="24"/>
          <w:shd w:val="clear" w:color="auto" w:fill="F9FBFE"/>
        </w:rPr>
      </w:pPr>
      <w:r w:rsidRPr="002550D3">
        <w:rPr>
          <w:color w:val="101010"/>
          <w:sz w:val="24"/>
          <w:shd w:val="clear" w:color="auto" w:fill="F9FBFE"/>
        </w:rPr>
        <w:t xml:space="preserve">In February and March we cleaned up trading inverse ETF stocks like TVIX and DWT, but in April we have been looking at what I see as the new bull market of the roaring 2020s.   In my opinion stocks are anticipating </w:t>
      </w:r>
      <w:proofErr w:type="spellStart"/>
      <w:r w:rsidRPr="002550D3">
        <w:rPr>
          <w:color w:val="101010"/>
          <w:sz w:val="24"/>
          <w:shd w:val="clear" w:color="auto" w:fill="F9FBFE"/>
        </w:rPr>
        <w:t>Covid</w:t>
      </w:r>
      <w:proofErr w:type="spellEnd"/>
      <w:r w:rsidRPr="002550D3">
        <w:rPr>
          <w:color w:val="101010"/>
          <w:sz w:val="24"/>
          <w:shd w:val="clear" w:color="auto" w:fill="F9FBFE"/>
        </w:rPr>
        <w:t xml:space="preserve"> 19 as becoming yesterdays news and have already recovered over half their losses from the March lows.   And while this has been happening we have cleaned up </w:t>
      </w:r>
      <w:r w:rsidRPr="002550D3">
        <w:rPr>
          <w:color w:val="101010"/>
          <w:sz w:val="24"/>
          <w:shd w:val="clear" w:color="auto" w:fill="F9FBFE"/>
        </w:rPr>
        <w:lastRenderedPageBreak/>
        <w:t>with mostly conventional stocks like W, OSTK &amp; INO.  This algorithm thrives on the unpredictable volatility of these stocks.  It is like we are making our own stimulus checks!</w:t>
      </w:r>
    </w:p>
    <w:p w:rsidR="001E7DB6" w:rsidRPr="002550D3" w:rsidRDefault="001E7DB6" w:rsidP="001E7DB6">
      <w:pPr>
        <w:rPr>
          <w:color w:val="101010"/>
          <w:sz w:val="24"/>
          <w:shd w:val="clear" w:color="auto" w:fill="F9FBFE"/>
        </w:rPr>
      </w:pPr>
      <w:r w:rsidRPr="002550D3">
        <w:rPr>
          <w:color w:val="101010"/>
          <w:sz w:val="24"/>
          <w:shd w:val="clear" w:color="auto" w:fill="F9FBFE"/>
        </w:rPr>
        <w:t>This is what the Dow looks like in the past three months while we have been making hay while the Dow is wildly going both up and down:</w:t>
      </w:r>
    </w:p>
    <w:p w:rsidR="001E7DB6" w:rsidRPr="002550D3" w:rsidRDefault="001E7DB6" w:rsidP="001E7DB6">
      <w:pPr>
        <w:rPr>
          <w:color w:val="101010"/>
          <w:sz w:val="24"/>
          <w:shd w:val="clear" w:color="auto" w:fill="F9FBFE"/>
        </w:rPr>
      </w:pPr>
      <w:r w:rsidRPr="002550D3">
        <w:rPr>
          <w:color w:val="101010"/>
          <w:sz w:val="24"/>
          <w:shd w:val="clear" w:color="auto" w:fill="F9FBFE"/>
        </w:rPr>
        <w:t xml:space="preserve"> </w:t>
      </w:r>
    </w:p>
    <w:p w:rsidR="001E7DB6" w:rsidRPr="002550D3" w:rsidRDefault="001E7DB6" w:rsidP="001E7DB6">
      <w:pPr>
        <w:rPr>
          <w:color w:val="101010"/>
          <w:sz w:val="24"/>
          <w:shd w:val="clear" w:color="auto" w:fill="F9FBFE"/>
        </w:rPr>
      </w:pPr>
      <w:r w:rsidRPr="002550D3">
        <w:rPr>
          <w:noProof/>
          <w:color w:val="101010"/>
          <w:sz w:val="24"/>
          <w:shd w:val="clear" w:color="auto" w:fill="F9FBFE"/>
        </w:rPr>
        <w:drawing>
          <wp:inline distT="0" distB="0" distL="0" distR="0">
            <wp:extent cx="5195369" cy="4735363"/>
            <wp:effectExtent l="19050" t="0" r="5281" b="0"/>
            <wp:docPr id="13" name="Picture 0" descr="!  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AA.png"/>
                    <pic:cNvPicPr/>
                  </pic:nvPicPr>
                  <pic:blipFill>
                    <a:blip r:embed="rId5">
                      <a:lum bright="40000" contrast="30000"/>
                    </a:blip>
                    <a:stretch>
                      <a:fillRect/>
                    </a:stretch>
                  </pic:blipFill>
                  <pic:spPr>
                    <a:xfrm>
                      <a:off x="0" y="0"/>
                      <a:ext cx="5198352" cy="4738082"/>
                    </a:xfrm>
                    <a:prstGeom prst="rect">
                      <a:avLst/>
                    </a:prstGeom>
                  </pic:spPr>
                </pic:pic>
              </a:graphicData>
            </a:graphic>
          </wp:inline>
        </w:drawing>
      </w:r>
    </w:p>
    <w:p w:rsidR="001E7DB6" w:rsidRPr="002550D3" w:rsidRDefault="001E7DB6" w:rsidP="001E7DB6">
      <w:pPr>
        <w:rPr>
          <w:sz w:val="24"/>
        </w:rPr>
      </w:pPr>
    </w:p>
    <w:p w:rsidR="001E7DB6" w:rsidRPr="002550D3" w:rsidRDefault="001E7DB6" w:rsidP="001E7DB6">
      <w:pPr>
        <w:rPr>
          <w:sz w:val="24"/>
        </w:rPr>
      </w:pPr>
      <w:r w:rsidRPr="002550D3">
        <w:rPr>
          <w:sz w:val="24"/>
        </w:rPr>
        <w:t xml:space="preserve">This is what it looked like for the 21 trading days of April 2020:  </w:t>
      </w:r>
    </w:p>
    <w:p w:rsidR="001E7DB6" w:rsidRPr="002550D3" w:rsidRDefault="001E7DB6" w:rsidP="001E7DB6">
      <w:pPr>
        <w:rPr>
          <w:sz w:val="24"/>
        </w:rPr>
      </w:pPr>
    </w:p>
    <w:tbl>
      <w:tblPr>
        <w:tblW w:w="2560" w:type="dxa"/>
        <w:tblInd w:w="95" w:type="dxa"/>
        <w:tblLook w:val="04A0"/>
      </w:tblPr>
      <w:tblGrid>
        <w:gridCol w:w="1400"/>
        <w:gridCol w:w="1160"/>
      </w:tblGrid>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r w:rsidRPr="002550D3">
              <w:rPr>
                <w:rFonts w:ascii="Arial" w:hAnsi="Arial" w:cs="Arial"/>
                <w:b/>
                <w:bCs/>
                <w:color w:val="000000"/>
                <w:szCs w:val="20"/>
              </w:rPr>
              <w:t>Apr</w:t>
            </w: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-$5,782</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-$6,253</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-$4,998</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-$3,100</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$63,362</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szCs w:val="20"/>
              </w:rPr>
            </w:pPr>
            <w:r w:rsidRPr="002550D3">
              <w:rPr>
                <w:rFonts w:ascii="Arial" w:hAnsi="Arial" w:cs="Arial"/>
                <w:szCs w:val="20"/>
              </w:rPr>
              <w:t>$5,717</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$83,613</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-$34,040</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szCs w:val="20"/>
              </w:rPr>
            </w:pPr>
            <w:r w:rsidRPr="002550D3">
              <w:rPr>
                <w:rFonts w:ascii="Arial" w:hAnsi="Arial" w:cs="Arial"/>
                <w:szCs w:val="20"/>
              </w:rPr>
              <w:t>$28,182</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-$29,861</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$20,723</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-$4,586</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-$4,348</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$22,575</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$26,851</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$21,377</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$461</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$43,650</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$13,781</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$12,970</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$12,672</w:t>
            </w:r>
          </w:p>
        </w:tc>
      </w:tr>
      <w:tr w:rsidR="001E7DB6" w:rsidRPr="002550D3" w:rsidTr="00325A1C">
        <w:trPr>
          <w:trHeight w:val="255"/>
        </w:trPr>
        <w:tc>
          <w:tcPr>
            <w:tcW w:w="140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b/>
                <w:bCs/>
                <w:color w:val="000000"/>
                <w:szCs w:val="20"/>
              </w:rPr>
            </w:pPr>
          </w:p>
        </w:tc>
        <w:tc>
          <w:tcPr>
            <w:tcW w:w="1160" w:type="dxa"/>
            <w:tcBorders>
              <w:top w:val="nil"/>
              <w:left w:val="nil"/>
              <w:bottom w:val="nil"/>
              <w:right w:val="nil"/>
            </w:tcBorders>
            <w:shd w:val="clear" w:color="auto" w:fill="auto"/>
            <w:vAlign w:val="bottom"/>
            <w:hideMark/>
          </w:tcPr>
          <w:p w:rsidR="001E7DB6" w:rsidRPr="002550D3" w:rsidRDefault="001E7DB6" w:rsidP="00325A1C">
            <w:pPr>
              <w:rPr>
                <w:rFonts w:ascii="Arial" w:hAnsi="Arial" w:cs="Arial"/>
                <w:color w:val="000000"/>
                <w:szCs w:val="20"/>
              </w:rPr>
            </w:pPr>
          </w:p>
        </w:tc>
      </w:tr>
      <w:tr w:rsidR="001E7DB6" w:rsidRPr="002550D3" w:rsidTr="00325A1C">
        <w:trPr>
          <w:trHeight w:val="255"/>
        </w:trPr>
        <w:tc>
          <w:tcPr>
            <w:tcW w:w="1400" w:type="dxa"/>
            <w:tcBorders>
              <w:top w:val="nil"/>
              <w:left w:val="nil"/>
              <w:bottom w:val="nil"/>
              <w:right w:val="nil"/>
            </w:tcBorders>
            <w:shd w:val="clear" w:color="000000" w:fill="CCFFCC"/>
            <w:vAlign w:val="bottom"/>
            <w:hideMark/>
          </w:tcPr>
          <w:p w:rsidR="001E7DB6" w:rsidRPr="002550D3" w:rsidRDefault="001E7DB6" w:rsidP="00325A1C">
            <w:pPr>
              <w:rPr>
                <w:rFonts w:ascii="Arial" w:hAnsi="Arial" w:cs="Arial"/>
                <w:b/>
                <w:bCs/>
                <w:color w:val="000000"/>
                <w:szCs w:val="20"/>
              </w:rPr>
            </w:pPr>
            <w:r w:rsidRPr="002550D3">
              <w:rPr>
                <w:rFonts w:ascii="Arial" w:hAnsi="Arial" w:cs="Arial"/>
                <w:b/>
                <w:bCs/>
                <w:color w:val="000000"/>
                <w:szCs w:val="20"/>
              </w:rPr>
              <w:t>Total Apr</w:t>
            </w:r>
          </w:p>
        </w:tc>
        <w:tc>
          <w:tcPr>
            <w:tcW w:w="1160" w:type="dxa"/>
            <w:tcBorders>
              <w:top w:val="nil"/>
              <w:left w:val="nil"/>
              <w:bottom w:val="nil"/>
              <w:right w:val="nil"/>
            </w:tcBorders>
            <w:shd w:val="clear" w:color="000000" w:fill="CCFFCC"/>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$262,966</w:t>
            </w:r>
          </w:p>
        </w:tc>
      </w:tr>
    </w:tbl>
    <w:p w:rsidR="001E7DB6" w:rsidRPr="002550D3" w:rsidRDefault="001E7DB6" w:rsidP="001E7DB6">
      <w:pPr>
        <w:rPr>
          <w:sz w:val="24"/>
        </w:rPr>
      </w:pPr>
    </w:p>
    <w:p w:rsidR="001E7DB6" w:rsidRPr="002550D3" w:rsidRDefault="001E7DB6" w:rsidP="001E7DB6">
      <w:pPr>
        <w:rPr>
          <w:sz w:val="24"/>
        </w:rPr>
      </w:pPr>
      <w:r w:rsidRPr="002550D3">
        <w:rPr>
          <w:sz w:val="24"/>
        </w:rPr>
        <w:t>And this is what it looks like for 2020 so far:</w:t>
      </w:r>
    </w:p>
    <w:p w:rsidR="001E7DB6" w:rsidRPr="002550D3" w:rsidRDefault="001E7DB6" w:rsidP="001E7DB6">
      <w:pPr>
        <w:rPr>
          <w:sz w:val="24"/>
        </w:rPr>
      </w:pPr>
    </w:p>
    <w:tbl>
      <w:tblPr>
        <w:tblW w:w="3680" w:type="dxa"/>
        <w:tblInd w:w="95" w:type="dxa"/>
        <w:tblLook w:val="04A0"/>
      </w:tblPr>
      <w:tblGrid>
        <w:gridCol w:w="1840"/>
        <w:gridCol w:w="1840"/>
      </w:tblGrid>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b/>
                <w:bCs/>
                <w:color w:val="000000"/>
                <w:szCs w:val="20"/>
              </w:rPr>
            </w:pPr>
            <w:r w:rsidRPr="002550D3">
              <w:rPr>
                <w:rFonts w:ascii="Arial" w:hAnsi="Arial" w:cs="Arial"/>
                <w:b/>
                <w:bCs/>
                <w:color w:val="000000"/>
                <w:szCs w:val="20"/>
              </w:rPr>
              <w:t xml:space="preserve">$ 532,017.09 </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Monthly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Jan</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28,899</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lastRenderedPageBreak/>
              <w:t>Feb</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244,263</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Mar</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szCs w:val="20"/>
              </w:rPr>
            </w:pPr>
            <w:r w:rsidRPr="002550D3">
              <w:rPr>
                <w:rFonts w:ascii="Arial" w:hAnsi="Arial" w:cs="Arial"/>
                <w:szCs w:val="20"/>
              </w:rPr>
              <w:t>530,773</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Apr</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262,966</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May</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Jun</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Jul</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Aug</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FF0000"/>
                <w:szCs w:val="20"/>
              </w:rPr>
            </w:pPr>
            <w:r w:rsidRPr="002550D3">
              <w:rPr>
                <w:rFonts w:ascii="Arial" w:hAnsi="Arial" w:cs="Arial"/>
                <w:color w:val="FF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Sep</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Oct</w:t>
            </w:r>
          </w:p>
        </w:tc>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FF0000"/>
                <w:szCs w:val="20"/>
              </w:rPr>
            </w:pPr>
            <w:r w:rsidRPr="002550D3">
              <w:rPr>
                <w:rFonts w:ascii="Arial" w:hAnsi="Arial" w:cs="Arial"/>
                <w:color w:val="FF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Nov</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Dec</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 </w:t>
            </w:r>
          </w:p>
        </w:tc>
      </w:tr>
      <w:tr w:rsidR="001E7DB6" w:rsidRPr="002550D3" w:rsidTr="00325A1C">
        <w:trPr>
          <w:trHeight w:val="255"/>
        </w:trPr>
        <w:tc>
          <w:tcPr>
            <w:tcW w:w="1840" w:type="dxa"/>
            <w:tcBorders>
              <w:top w:val="nil"/>
              <w:left w:val="nil"/>
              <w:bottom w:val="nil"/>
              <w:right w:val="nil"/>
            </w:tcBorders>
            <w:shd w:val="clear" w:color="000000" w:fill="FFFFFF"/>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 </w:t>
            </w:r>
          </w:p>
        </w:tc>
        <w:tc>
          <w:tcPr>
            <w:tcW w:w="1840" w:type="dxa"/>
            <w:tcBorders>
              <w:top w:val="nil"/>
              <w:left w:val="nil"/>
              <w:bottom w:val="nil"/>
              <w:right w:val="nil"/>
            </w:tcBorders>
            <w:shd w:val="clear" w:color="000000" w:fill="FFFFFF"/>
            <w:vAlign w:val="bottom"/>
            <w:hideMark/>
          </w:tcPr>
          <w:p w:rsidR="001E7DB6" w:rsidRPr="002550D3" w:rsidRDefault="001E7DB6" w:rsidP="00325A1C">
            <w:pPr>
              <w:jc w:val="right"/>
              <w:rPr>
                <w:rFonts w:ascii="Arial" w:hAnsi="Arial" w:cs="Arial"/>
                <w:color w:val="000000"/>
                <w:szCs w:val="20"/>
              </w:rPr>
            </w:pPr>
            <w:r w:rsidRPr="002550D3">
              <w:rPr>
                <w:rFonts w:ascii="Arial" w:hAnsi="Arial" w:cs="Arial"/>
                <w:color w:val="000000"/>
                <w:szCs w:val="20"/>
              </w:rPr>
              <w:t> </w:t>
            </w:r>
          </w:p>
        </w:tc>
      </w:tr>
      <w:tr w:rsidR="001E7DB6" w:rsidRPr="002550D3" w:rsidTr="00325A1C">
        <w:trPr>
          <w:trHeight w:val="255"/>
        </w:trPr>
        <w:tc>
          <w:tcPr>
            <w:tcW w:w="1840" w:type="dxa"/>
            <w:tcBorders>
              <w:top w:val="nil"/>
              <w:left w:val="nil"/>
              <w:bottom w:val="nil"/>
              <w:right w:val="nil"/>
            </w:tcBorders>
            <w:shd w:val="clear" w:color="000000" w:fill="339966"/>
            <w:vAlign w:val="bottom"/>
            <w:hideMark/>
          </w:tcPr>
          <w:p w:rsidR="001E7DB6" w:rsidRPr="002550D3" w:rsidRDefault="001E7DB6" w:rsidP="00325A1C">
            <w:pPr>
              <w:rPr>
                <w:rFonts w:ascii="Arial" w:hAnsi="Arial" w:cs="Arial"/>
                <w:color w:val="000000"/>
                <w:szCs w:val="20"/>
              </w:rPr>
            </w:pPr>
            <w:r w:rsidRPr="002550D3">
              <w:rPr>
                <w:rFonts w:ascii="Arial" w:hAnsi="Arial" w:cs="Arial"/>
                <w:color w:val="000000"/>
                <w:szCs w:val="20"/>
              </w:rPr>
              <w:t>Total 2020</w:t>
            </w:r>
          </w:p>
        </w:tc>
        <w:tc>
          <w:tcPr>
            <w:tcW w:w="1840" w:type="dxa"/>
            <w:tcBorders>
              <w:top w:val="nil"/>
              <w:left w:val="nil"/>
              <w:bottom w:val="nil"/>
              <w:right w:val="nil"/>
            </w:tcBorders>
            <w:shd w:val="clear" w:color="000000" w:fill="CCFFCC"/>
            <w:vAlign w:val="bottom"/>
            <w:hideMark/>
          </w:tcPr>
          <w:p w:rsidR="001E7DB6" w:rsidRPr="002550D3" w:rsidRDefault="001E7DB6" w:rsidP="00325A1C">
            <w:pPr>
              <w:jc w:val="right"/>
              <w:rPr>
                <w:rFonts w:ascii="Arial" w:hAnsi="Arial" w:cs="Arial"/>
                <w:b/>
                <w:bCs/>
                <w:color w:val="000000"/>
                <w:szCs w:val="20"/>
              </w:rPr>
            </w:pPr>
            <w:r w:rsidRPr="002550D3">
              <w:rPr>
                <w:rFonts w:ascii="Arial" w:hAnsi="Arial" w:cs="Arial"/>
                <w:b/>
                <w:bCs/>
                <w:color w:val="000000"/>
                <w:szCs w:val="20"/>
              </w:rPr>
              <w:t>1,066,901</w:t>
            </w:r>
          </w:p>
        </w:tc>
      </w:tr>
      <w:tr w:rsidR="001E7DB6" w:rsidRPr="002550D3" w:rsidTr="00325A1C">
        <w:trPr>
          <w:trHeight w:val="255"/>
        </w:trPr>
        <w:tc>
          <w:tcPr>
            <w:tcW w:w="1840" w:type="dxa"/>
            <w:tcBorders>
              <w:top w:val="nil"/>
              <w:left w:val="nil"/>
              <w:bottom w:val="nil"/>
              <w:right w:val="nil"/>
            </w:tcBorders>
            <w:shd w:val="clear" w:color="000000" w:fill="339966"/>
            <w:vAlign w:val="bottom"/>
            <w:hideMark/>
          </w:tcPr>
          <w:p w:rsidR="001E7DB6" w:rsidRPr="002550D3" w:rsidRDefault="001E7DB6" w:rsidP="00325A1C">
            <w:pPr>
              <w:rPr>
                <w:rFonts w:ascii="Arial" w:hAnsi="Arial" w:cs="Arial"/>
                <w:color w:val="000000"/>
                <w:szCs w:val="20"/>
              </w:rPr>
            </w:pPr>
          </w:p>
        </w:tc>
        <w:tc>
          <w:tcPr>
            <w:tcW w:w="1840" w:type="dxa"/>
            <w:tcBorders>
              <w:top w:val="nil"/>
              <w:left w:val="nil"/>
              <w:bottom w:val="nil"/>
              <w:right w:val="nil"/>
            </w:tcBorders>
            <w:shd w:val="clear" w:color="000000" w:fill="CCFFCC"/>
            <w:vAlign w:val="bottom"/>
            <w:hideMark/>
          </w:tcPr>
          <w:p w:rsidR="001E7DB6" w:rsidRPr="002550D3" w:rsidRDefault="001E7DB6" w:rsidP="00325A1C">
            <w:pPr>
              <w:jc w:val="right"/>
              <w:rPr>
                <w:rFonts w:ascii="Arial" w:hAnsi="Arial" w:cs="Arial"/>
                <w:b/>
                <w:bCs/>
                <w:color w:val="000000"/>
                <w:szCs w:val="20"/>
              </w:rPr>
            </w:pPr>
          </w:p>
        </w:tc>
      </w:tr>
    </w:tbl>
    <w:p w:rsidR="001E7DB6" w:rsidRPr="002550D3" w:rsidRDefault="001E7DB6" w:rsidP="001E7DB6">
      <w:pPr>
        <w:rPr>
          <w:sz w:val="24"/>
        </w:rPr>
      </w:pPr>
    </w:p>
    <w:p w:rsidR="001E7DB6" w:rsidRPr="002550D3" w:rsidRDefault="001E7DB6" w:rsidP="001E7DB6">
      <w:pPr>
        <w:rPr>
          <w:sz w:val="24"/>
        </w:rPr>
      </w:pPr>
      <w:r w:rsidRPr="002550D3">
        <w:rPr>
          <w:sz w:val="24"/>
        </w:rPr>
        <w:t>We have come close to tripling our initial cash balance in only four months!  I have never seen anything like this in 30 years of trading.</w:t>
      </w:r>
    </w:p>
    <w:sectPr w:rsidR="001E7DB6" w:rsidRPr="002550D3" w:rsidSect="00593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7DB6"/>
    <w:rsid w:val="001E7DB6"/>
    <w:rsid w:val="00593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E7DB6"/>
    <w:rPr>
      <w:rFonts w:ascii="Tahoma" w:hAnsi="Tahoma" w:cs="Tahoma"/>
      <w:sz w:val="16"/>
      <w:szCs w:val="16"/>
    </w:rPr>
  </w:style>
  <w:style w:type="paragraph" w:styleId="BalloonText">
    <w:name w:val="Balloon Text"/>
    <w:basedOn w:val="Normal"/>
    <w:link w:val="BalloonTextChar"/>
    <w:uiPriority w:val="99"/>
    <w:semiHidden/>
    <w:unhideWhenUsed/>
    <w:rsid w:val="001E7DB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E7DB6"/>
    <w:rPr>
      <w:rFonts w:ascii="Tahoma" w:hAnsi="Tahoma" w:cs="Tahoma"/>
      <w:sz w:val="16"/>
      <w:szCs w:val="16"/>
    </w:rPr>
  </w:style>
  <w:style w:type="character" w:styleId="Hyperlink">
    <w:name w:val="Hyperlink"/>
    <w:basedOn w:val="DefaultParagraphFont"/>
    <w:unhideWhenUsed/>
    <w:rsid w:val="001E7DB6"/>
    <w:rPr>
      <w:color w:val="0000FF"/>
      <w:u w:val="single"/>
    </w:rPr>
  </w:style>
  <w:style w:type="paragraph" w:styleId="NoSpacing">
    <w:name w:val="No Spacing"/>
    <w:uiPriority w:val="1"/>
    <w:qFormat/>
    <w:rsid w:val="001E7D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UndisclosedRecipients@short-term-stocktra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2020-05-09T14:47:00Z</dcterms:created>
  <dcterms:modified xsi:type="dcterms:W3CDTF">2020-05-09T14:53:00Z</dcterms:modified>
</cp:coreProperties>
</file>